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17" w:rsidRPr="007E1D17" w:rsidRDefault="007E1D17" w:rsidP="007E1D17">
      <w:pPr>
        <w:autoSpaceDE w:val="0"/>
        <w:autoSpaceDN w:val="0"/>
        <w:adjustRightInd w:val="0"/>
        <w:spacing w:after="0" w:line="240" w:lineRule="auto"/>
        <w:jc w:val="right"/>
        <w:rPr>
          <w:rFonts w:ascii="Times New Roman" w:eastAsia="Times New Roman" w:hAnsi="Times New Roman" w:cs="Times New Roman"/>
          <w:b/>
          <w:bCs/>
          <w:lang w:eastAsia="pt-BR"/>
        </w:rPr>
      </w:pPr>
      <w:r w:rsidRPr="007E1D17">
        <w:rPr>
          <w:rFonts w:ascii="Times New Roman" w:eastAsia="Times New Roman" w:hAnsi="Times New Roman" w:cs="Times New Roman"/>
          <w:b/>
          <w:bCs/>
          <w:lang w:eastAsia="pt-BR"/>
        </w:rPr>
        <w:t>EDITAL DE PROCES</w:t>
      </w:r>
      <w:r>
        <w:rPr>
          <w:rFonts w:ascii="Times New Roman" w:eastAsia="Times New Roman" w:hAnsi="Times New Roman" w:cs="Times New Roman"/>
          <w:b/>
          <w:bCs/>
          <w:lang w:eastAsia="pt-BR"/>
        </w:rPr>
        <w:t>SO SELETIVO SIMPLIFICADO N.º 023</w:t>
      </w:r>
      <w:r w:rsidRPr="007E1D17">
        <w:rPr>
          <w:rFonts w:ascii="Times New Roman" w:eastAsia="Times New Roman" w:hAnsi="Times New Roman" w:cs="Times New Roman"/>
          <w:b/>
          <w:bCs/>
          <w:lang w:eastAsia="pt-BR"/>
        </w:rPr>
        <w:t>/2014.</w:t>
      </w:r>
    </w:p>
    <w:p w:rsidR="007E1D17" w:rsidRPr="007E1D17" w:rsidRDefault="007E1D17" w:rsidP="007E1D17">
      <w:pPr>
        <w:autoSpaceDE w:val="0"/>
        <w:autoSpaceDN w:val="0"/>
        <w:adjustRightInd w:val="0"/>
        <w:spacing w:after="0" w:line="240" w:lineRule="auto"/>
        <w:jc w:val="right"/>
        <w:rPr>
          <w:rFonts w:ascii="Times New Roman" w:eastAsia="Times New Roman" w:hAnsi="Times New Roman" w:cs="Times New Roman"/>
          <w:b/>
          <w:bCs/>
          <w:lang w:eastAsia="pt-BR"/>
        </w:rPr>
      </w:pPr>
    </w:p>
    <w:p w:rsidR="007E1D17" w:rsidRPr="007E1D17" w:rsidRDefault="007E1D17" w:rsidP="007E1D17">
      <w:pPr>
        <w:autoSpaceDE w:val="0"/>
        <w:autoSpaceDN w:val="0"/>
        <w:adjustRightInd w:val="0"/>
        <w:spacing w:after="0" w:line="240" w:lineRule="auto"/>
        <w:ind w:left="8222"/>
        <w:jc w:val="both"/>
        <w:rPr>
          <w:rFonts w:ascii="Times New Roman" w:eastAsia="Times New Roman" w:hAnsi="Times New Roman" w:cs="Times New Roman"/>
          <w:lang w:eastAsia="pt-BR"/>
        </w:rPr>
      </w:pPr>
      <w:r w:rsidRPr="007E1D17">
        <w:rPr>
          <w:rFonts w:ascii="Times New Roman" w:eastAsia="Times New Roman" w:hAnsi="Times New Roman" w:cs="Times New Roman"/>
          <w:lang w:eastAsia="pt-BR"/>
        </w:rPr>
        <w:t>Divulga o resultado preliminar da análise dos currículos dos candidatos inscritos ao Proce</w:t>
      </w:r>
      <w:r>
        <w:rPr>
          <w:rFonts w:ascii="Times New Roman" w:eastAsia="Times New Roman" w:hAnsi="Times New Roman" w:cs="Times New Roman"/>
          <w:lang w:eastAsia="pt-BR"/>
        </w:rPr>
        <w:t>sso Seletivo Simplificado nº 023</w:t>
      </w:r>
      <w:r w:rsidRPr="007E1D17">
        <w:rPr>
          <w:rFonts w:ascii="Times New Roman" w:eastAsia="Times New Roman" w:hAnsi="Times New Roman" w:cs="Times New Roman"/>
          <w:lang w:eastAsia="pt-BR"/>
        </w:rPr>
        <w:t>/2014 e dá outras providências.</w:t>
      </w:r>
    </w:p>
    <w:p w:rsidR="007E1D17" w:rsidRPr="007E1D17" w:rsidRDefault="007E1D17" w:rsidP="007E1D17">
      <w:pPr>
        <w:autoSpaceDE w:val="0"/>
        <w:autoSpaceDN w:val="0"/>
        <w:adjustRightInd w:val="0"/>
        <w:spacing w:after="0" w:line="240" w:lineRule="auto"/>
        <w:ind w:left="8222"/>
        <w:jc w:val="both"/>
        <w:rPr>
          <w:rFonts w:ascii="Times New Roman" w:eastAsia="Times New Roman" w:hAnsi="Times New Roman" w:cs="Times New Roman"/>
          <w:lang w:eastAsia="pt-BR"/>
        </w:rPr>
      </w:pPr>
    </w:p>
    <w:p w:rsidR="007E1D17" w:rsidRPr="007E1D17" w:rsidRDefault="007E1D17" w:rsidP="007E1D17">
      <w:pPr>
        <w:autoSpaceDE w:val="0"/>
        <w:autoSpaceDN w:val="0"/>
        <w:adjustRightInd w:val="0"/>
        <w:spacing w:after="0" w:line="240" w:lineRule="auto"/>
        <w:jc w:val="right"/>
        <w:rPr>
          <w:rFonts w:ascii="Times New Roman" w:eastAsia="Times New Roman" w:hAnsi="Times New Roman" w:cs="Times New Roman"/>
          <w:lang w:eastAsia="pt-BR"/>
        </w:rPr>
      </w:pPr>
    </w:p>
    <w:p w:rsidR="007E1D17" w:rsidRPr="007E1D17" w:rsidRDefault="007E1D17" w:rsidP="007E1D17">
      <w:pPr>
        <w:autoSpaceDE w:val="0"/>
        <w:autoSpaceDN w:val="0"/>
        <w:adjustRightInd w:val="0"/>
        <w:spacing w:after="0" w:line="240" w:lineRule="auto"/>
        <w:jc w:val="right"/>
        <w:rPr>
          <w:rFonts w:ascii="Times New Roman" w:eastAsia="Times New Roman" w:hAnsi="Times New Roman" w:cs="Times New Roman"/>
          <w:lang w:eastAsia="pt-BR"/>
        </w:rPr>
      </w:pPr>
    </w:p>
    <w:p w:rsidR="007E1D17" w:rsidRPr="007E1D17" w:rsidRDefault="007E1D17" w:rsidP="007E1D17">
      <w:pPr>
        <w:autoSpaceDE w:val="0"/>
        <w:autoSpaceDN w:val="0"/>
        <w:adjustRightInd w:val="0"/>
        <w:spacing w:after="0" w:line="240" w:lineRule="auto"/>
        <w:jc w:val="both"/>
        <w:rPr>
          <w:rFonts w:ascii="Times New Roman" w:eastAsia="Times New Roman" w:hAnsi="Times New Roman" w:cs="Times New Roman"/>
          <w:lang w:eastAsia="pt-BR"/>
        </w:rPr>
      </w:pPr>
      <w:r w:rsidRPr="007E1D17">
        <w:rPr>
          <w:rFonts w:ascii="Times New Roman" w:eastAsia="Times New Roman" w:hAnsi="Times New Roman" w:cs="Times New Roman"/>
          <w:lang w:eastAsia="pt-BR"/>
        </w:rPr>
        <w:t xml:space="preserve">O Secretário Municipal de Saúde, no uso de suas atribuições, </w:t>
      </w:r>
      <w:r w:rsidRPr="007E1D17">
        <w:rPr>
          <w:rFonts w:ascii="Times New Roman" w:eastAsia="Times New Roman" w:hAnsi="Times New Roman" w:cs="Times New Roman"/>
          <w:b/>
          <w:bCs/>
          <w:lang w:eastAsia="pt-BR"/>
        </w:rPr>
        <w:t xml:space="preserve">TORNA PÚBLICO O RESULTADO PRELIMINAR DA ANÁLISE DOS CURRÍCULOS </w:t>
      </w:r>
      <w:r w:rsidRPr="007E1D17">
        <w:rPr>
          <w:rFonts w:ascii="Times New Roman" w:eastAsia="Times New Roman" w:hAnsi="Times New Roman" w:cs="Times New Roman"/>
          <w:lang w:eastAsia="pt-BR"/>
        </w:rPr>
        <w:t xml:space="preserve">dos candidatos a </w:t>
      </w:r>
      <w:r>
        <w:rPr>
          <w:rFonts w:ascii="Times New Roman" w:eastAsia="Times New Roman" w:hAnsi="Times New Roman" w:cs="Times New Roman"/>
          <w:b/>
          <w:lang w:eastAsia="pt-BR"/>
        </w:rPr>
        <w:t xml:space="preserve">TNS I MÉDICO </w:t>
      </w:r>
      <w:proofErr w:type="gramStart"/>
      <w:r>
        <w:rPr>
          <w:rFonts w:ascii="Times New Roman" w:eastAsia="Times New Roman" w:hAnsi="Times New Roman" w:cs="Times New Roman"/>
          <w:b/>
          <w:lang w:eastAsia="pt-BR"/>
        </w:rPr>
        <w:t>CLÍ</w:t>
      </w:r>
      <w:bookmarkStart w:id="0" w:name="_GoBack"/>
      <w:bookmarkEnd w:id="0"/>
      <w:r>
        <w:rPr>
          <w:rFonts w:ascii="Times New Roman" w:eastAsia="Times New Roman" w:hAnsi="Times New Roman" w:cs="Times New Roman"/>
          <w:b/>
          <w:lang w:eastAsia="pt-BR"/>
        </w:rPr>
        <w:t xml:space="preserve">NICA MÉDICA </w:t>
      </w:r>
      <w:r w:rsidRPr="007E1D17">
        <w:rPr>
          <w:rFonts w:ascii="Times New Roman" w:eastAsia="Times New Roman" w:hAnsi="Times New Roman" w:cs="Times New Roman"/>
          <w:lang w:eastAsia="pt-BR"/>
        </w:rPr>
        <w:t>inscrito</w:t>
      </w:r>
      <w:proofErr w:type="gramEnd"/>
      <w:r w:rsidRPr="007E1D17">
        <w:rPr>
          <w:rFonts w:ascii="Times New Roman" w:eastAsia="Times New Roman" w:hAnsi="Times New Roman" w:cs="Times New Roman"/>
          <w:lang w:eastAsia="pt-BR"/>
        </w:rPr>
        <w:t xml:space="preserve"> no Proce</w:t>
      </w:r>
      <w:r>
        <w:rPr>
          <w:rFonts w:ascii="Times New Roman" w:eastAsia="Times New Roman" w:hAnsi="Times New Roman" w:cs="Times New Roman"/>
          <w:lang w:eastAsia="pt-BR"/>
        </w:rPr>
        <w:t>sso Seletivo Simplificado nº 023</w:t>
      </w:r>
      <w:r w:rsidRPr="007E1D17">
        <w:rPr>
          <w:rFonts w:ascii="Times New Roman" w:eastAsia="Times New Roman" w:hAnsi="Times New Roman" w:cs="Times New Roman"/>
          <w:lang w:eastAsia="pt-BR"/>
        </w:rPr>
        <w:t>/2014.</w:t>
      </w:r>
    </w:p>
    <w:p w:rsidR="007E1D17" w:rsidRPr="007E1D17" w:rsidRDefault="007E1D17" w:rsidP="007E1D17">
      <w:pPr>
        <w:autoSpaceDE w:val="0"/>
        <w:autoSpaceDN w:val="0"/>
        <w:adjustRightInd w:val="0"/>
        <w:spacing w:after="0" w:line="240" w:lineRule="auto"/>
        <w:jc w:val="both"/>
        <w:rPr>
          <w:rFonts w:ascii="Times New Roman" w:eastAsia="Times New Roman" w:hAnsi="Times New Roman" w:cs="Times New Roman"/>
          <w:lang w:eastAsia="pt-BR"/>
        </w:rPr>
      </w:pPr>
      <w:r w:rsidRPr="007E1D17">
        <w:rPr>
          <w:rFonts w:ascii="Times New Roman" w:eastAsia="Times New Roman" w:hAnsi="Times New Roman" w:cs="Times New Roman"/>
          <w:lang w:eastAsia="pt-BR"/>
        </w:rPr>
        <w:t xml:space="preserve">I – A </w:t>
      </w:r>
      <w:r w:rsidRPr="007E1D17">
        <w:rPr>
          <w:rFonts w:ascii="Times New Roman" w:eastAsia="Times New Roman" w:hAnsi="Times New Roman" w:cs="Times New Roman"/>
          <w:b/>
          <w:bCs/>
          <w:lang w:eastAsia="pt-BR"/>
        </w:rPr>
        <w:t xml:space="preserve">relação preliminar da análise dos currículos </w:t>
      </w:r>
      <w:r w:rsidRPr="007E1D17">
        <w:rPr>
          <w:rFonts w:ascii="Times New Roman" w:eastAsia="Times New Roman" w:hAnsi="Times New Roman" w:cs="Times New Roman"/>
          <w:lang w:eastAsia="pt-BR"/>
        </w:rPr>
        <w:t xml:space="preserve">dos candidatos que tiveram a sua inscrição homologada (aceita) encontra-se no </w:t>
      </w:r>
      <w:r w:rsidRPr="007E1D17">
        <w:rPr>
          <w:rFonts w:ascii="Times New Roman" w:eastAsia="Times New Roman" w:hAnsi="Times New Roman" w:cs="Times New Roman"/>
          <w:b/>
          <w:bCs/>
          <w:lang w:eastAsia="pt-BR"/>
        </w:rPr>
        <w:t xml:space="preserve">ANEXO I </w:t>
      </w:r>
      <w:r w:rsidRPr="007E1D17">
        <w:rPr>
          <w:rFonts w:ascii="Times New Roman" w:eastAsia="Times New Roman" w:hAnsi="Times New Roman" w:cs="Times New Roman"/>
          <w:lang w:eastAsia="pt-BR"/>
        </w:rPr>
        <w:t>desta relação.</w:t>
      </w:r>
    </w:p>
    <w:p w:rsidR="007E1D17" w:rsidRPr="007E1D17" w:rsidRDefault="007E1D17" w:rsidP="007E1D17">
      <w:pPr>
        <w:autoSpaceDE w:val="0"/>
        <w:autoSpaceDN w:val="0"/>
        <w:adjustRightInd w:val="0"/>
        <w:spacing w:after="0" w:line="240" w:lineRule="auto"/>
        <w:jc w:val="both"/>
        <w:rPr>
          <w:rFonts w:ascii="Times New Roman" w:eastAsia="Times New Roman" w:hAnsi="Times New Roman" w:cs="Times New Roman"/>
          <w:lang w:eastAsia="pt-BR"/>
        </w:rPr>
      </w:pPr>
      <w:r w:rsidRPr="007E1D17">
        <w:rPr>
          <w:rFonts w:ascii="Times New Roman" w:eastAsia="Times New Roman" w:hAnsi="Times New Roman" w:cs="Times New Roman"/>
          <w:lang w:eastAsia="pt-BR"/>
        </w:rPr>
        <w:t>II – Fica estabelecido o dia 24 de outubro de 2014 para interposição de recurso relacionado à análise de currículo que deverá ser realizado através de formulário próprio (</w:t>
      </w:r>
      <w:r w:rsidRPr="007E1D17">
        <w:rPr>
          <w:rFonts w:ascii="Times New Roman" w:eastAsia="Times New Roman" w:hAnsi="Times New Roman" w:cs="Times New Roman"/>
          <w:b/>
          <w:bCs/>
          <w:lang w:eastAsia="pt-BR"/>
        </w:rPr>
        <w:t xml:space="preserve">ANEXO VI </w:t>
      </w:r>
      <w:r w:rsidRPr="007E1D17">
        <w:rPr>
          <w:rFonts w:ascii="Times New Roman" w:eastAsia="Times New Roman" w:hAnsi="Times New Roman" w:cs="Times New Roman"/>
          <w:lang w:eastAsia="pt-BR"/>
        </w:rPr>
        <w:t>do referido edital), observando o item 3 – Análise de Currículo do edital proposto, direcionado a Comissão Executora do Processo Seletivo Simplificado 2014, protocolado junto à Secretaria Municipal de Saúde, sito à Rua Dr. Eufrásio Rodrigues, 05 - Jardim Centro – Patos de Minas - MG.</w:t>
      </w:r>
    </w:p>
    <w:p w:rsidR="007E1D17" w:rsidRPr="007E1D17" w:rsidRDefault="007E1D17" w:rsidP="007E1D17">
      <w:pPr>
        <w:autoSpaceDE w:val="0"/>
        <w:autoSpaceDN w:val="0"/>
        <w:adjustRightInd w:val="0"/>
        <w:spacing w:after="0" w:line="240" w:lineRule="auto"/>
        <w:jc w:val="both"/>
        <w:rPr>
          <w:rFonts w:ascii="Times New Roman" w:eastAsia="Times New Roman" w:hAnsi="Times New Roman" w:cs="Times New Roman"/>
          <w:lang w:eastAsia="pt-BR"/>
        </w:rPr>
      </w:pPr>
    </w:p>
    <w:p w:rsidR="007E1D17" w:rsidRPr="007E1D17" w:rsidRDefault="007E1D17" w:rsidP="007E1D17">
      <w:pPr>
        <w:autoSpaceDE w:val="0"/>
        <w:autoSpaceDN w:val="0"/>
        <w:adjustRightInd w:val="0"/>
        <w:spacing w:after="0" w:line="240" w:lineRule="auto"/>
        <w:jc w:val="both"/>
        <w:rPr>
          <w:rFonts w:ascii="Times New Roman" w:eastAsia="Times New Roman" w:hAnsi="Times New Roman" w:cs="Times New Roman"/>
          <w:lang w:eastAsia="pt-BR"/>
        </w:rPr>
      </w:pPr>
    </w:p>
    <w:p w:rsidR="007E1D17" w:rsidRPr="007E1D17" w:rsidRDefault="007E1D17" w:rsidP="007E1D17">
      <w:pPr>
        <w:autoSpaceDE w:val="0"/>
        <w:autoSpaceDN w:val="0"/>
        <w:adjustRightInd w:val="0"/>
        <w:spacing w:after="0" w:line="240" w:lineRule="auto"/>
        <w:jc w:val="both"/>
        <w:rPr>
          <w:rFonts w:ascii="Times New Roman" w:eastAsia="Times New Roman" w:hAnsi="Times New Roman" w:cs="Times New Roman"/>
          <w:lang w:eastAsia="pt-BR"/>
        </w:rPr>
      </w:pPr>
    </w:p>
    <w:p w:rsidR="007E1D17" w:rsidRPr="007E1D17" w:rsidRDefault="007E1D17" w:rsidP="007E1D17">
      <w:pPr>
        <w:autoSpaceDE w:val="0"/>
        <w:autoSpaceDN w:val="0"/>
        <w:adjustRightInd w:val="0"/>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ind w:left="142"/>
        <w:jc w:val="both"/>
        <w:rPr>
          <w:rFonts w:ascii="Times New Roman" w:eastAsia="Times New Roman" w:hAnsi="Times New Roman" w:cs="Times New Roman"/>
          <w:lang w:eastAsia="pt-BR"/>
        </w:rPr>
      </w:pPr>
      <w:r w:rsidRPr="007E1D17">
        <w:rPr>
          <w:rFonts w:ascii="Times New Roman" w:eastAsia="Times New Roman" w:hAnsi="Times New Roman" w:cs="Times New Roman"/>
          <w:bCs/>
          <w:lang w:eastAsia="pt-BR"/>
        </w:rPr>
        <w:t>Patos de Minas</w:t>
      </w:r>
      <w:r w:rsidRPr="007E1D17">
        <w:rPr>
          <w:rFonts w:ascii="Times New Roman" w:eastAsia="Times New Roman" w:hAnsi="Times New Roman" w:cs="Times New Roman"/>
          <w:lang w:eastAsia="pt-BR"/>
        </w:rPr>
        <w:t>, 23 de outubro de 2014.</w:t>
      </w: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spacing w:after="0" w:line="240" w:lineRule="auto"/>
        <w:jc w:val="both"/>
        <w:rPr>
          <w:rFonts w:ascii="Times New Roman" w:eastAsia="Times New Roman" w:hAnsi="Times New Roman" w:cs="Times New Roman"/>
          <w:lang w:eastAsia="pt-BR"/>
        </w:rPr>
      </w:pPr>
    </w:p>
    <w:p w:rsidR="007E1D17" w:rsidRPr="007E1D17" w:rsidRDefault="007E1D17" w:rsidP="007E1D17">
      <w:pPr>
        <w:tabs>
          <w:tab w:val="left" w:pos="870"/>
          <w:tab w:val="right" w:pos="9610"/>
        </w:tabs>
        <w:spacing w:after="0" w:line="240" w:lineRule="auto"/>
        <w:ind w:right="290"/>
        <w:rPr>
          <w:rFonts w:ascii="Times New Roman" w:eastAsia="Times New Roman" w:hAnsi="Times New Roman" w:cs="Times New Roman"/>
          <w:lang w:eastAsia="pt-BR"/>
        </w:rPr>
      </w:pPr>
    </w:p>
    <w:p w:rsidR="007E1D17" w:rsidRPr="007E1D17" w:rsidRDefault="007E1D17" w:rsidP="007E1D17">
      <w:pPr>
        <w:spacing w:after="0" w:line="240" w:lineRule="auto"/>
        <w:jc w:val="center"/>
        <w:rPr>
          <w:rFonts w:ascii="Times New Roman" w:eastAsia="Times New Roman" w:hAnsi="Times New Roman" w:cs="Times New Roman"/>
          <w:b/>
          <w:lang w:eastAsia="pt-BR"/>
        </w:rPr>
      </w:pPr>
    </w:p>
    <w:p w:rsidR="007E1D17" w:rsidRPr="007E1D17" w:rsidRDefault="007E1D17" w:rsidP="007E1D17">
      <w:pPr>
        <w:spacing w:after="0" w:line="240" w:lineRule="auto"/>
        <w:jc w:val="center"/>
        <w:rPr>
          <w:rFonts w:ascii="Times New Roman" w:eastAsia="Times New Roman" w:hAnsi="Times New Roman" w:cs="Times New Roman"/>
          <w:b/>
          <w:lang w:eastAsia="pt-BR"/>
        </w:rPr>
      </w:pPr>
      <w:r w:rsidRPr="007E1D17">
        <w:rPr>
          <w:rFonts w:ascii="Times New Roman" w:eastAsia="Times New Roman" w:hAnsi="Times New Roman" w:cs="Times New Roman"/>
          <w:b/>
          <w:lang w:eastAsia="pt-BR"/>
        </w:rPr>
        <w:t>ANEXO I</w:t>
      </w:r>
    </w:p>
    <w:tbl>
      <w:tblPr>
        <w:tblStyle w:val="Tabelacomgrade1"/>
        <w:tblW w:w="14760" w:type="dxa"/>
        <w:tblInd w:w="-252" w:type="dxa"/>
        <w:tblLayout w:type="fixed"/>
        <w:tblLook w:val="01E0" w:firstRow="1" w:lastRow="1" w:firstColumn="1" w:lastColumn="1" w:noHBand="0" w:noVBand="0"/>
      </w:tblPr>
      <w:tblGrid>
        <w:gridCol w:w="5400"/>
        <w:gridCol w:w="1440"/>
        <w:gridCol w:w="1440"/>
        <w:gridCol w:w="1578"/>
        <w:gridCol w:w="1842"/>
        <w:gridCol w:w="1620"/>
        <w:gridCol w:w="1440"/>
      </w:tblGrid>
      <w:tr w:rsidR="007E1D17" w:rsidRPr="007E1D17" w:rsidTr="00935968">
        <w:tc>
          <w:tcPr>
            <w:tcW w:w="14760" w:type="dxa"/>
            <w:gridSpan w:val="7"/>
          </w:tcPr>
          <w:p w:rsidR="007E1D17" w:rsidRPr="007E1D17" w:rsidRDefault="007E1D17" w:rsidP="007E1D17">
            <w:pPr>
              <w:rPr>
                <w:b/>
                <w:sz w:val="24"/>
                <w:szCs w:val="24"/>
              </w:rPr>
            </w:pPr>
            <w:r w:rsidRPr="007E1D17">
              <w:rPr>
                <w:sz w:val="24"/>
                <w:szCs w:val="24"/>
              </w:rPr>
              <w:t>CARGO</w:t>
            </w:r>
            <w:r w:rsidRPr="007E1D17">
              <w:rPr>
                <w:b/>
                <w:sz w:val="24"/>
                <w:szCs w:val="24"/>
              </w:rPr>
              <w:t xml:space="preserve">: </w:t>
            </w:r>
            <w:r>
              <w:rPr>
                <w:b/>
                <w:sz w:val="24"/>
                <w:szCs w:val="24"/>
              </w:rPr>
              <w:t>TNS I MÉDICO CLÍ NICA MÉDICA</w:t>
            </w:r>
          </w:p>
        </w:tc>
      </w:tr>
      <w:tr w:rsidR="007E1D17" w:rsidRPr="007E1D17" w:rsidTr="00935968">
        <w:tc>
          <w:tcPr>
            <w:tcW w:w="5400" w:type="dxa"/>
            <w:vMerge w:val="restart"/>
          </w:tcPr>
          <w:p w:rsidR="007E1D17" w:rsidRPr="007E1D17" w:rsidRDefault="007E1D17" w:rsidP="007E1D17">
            <w:pPr>
              <w:jc w:val="both"/>
              <w:rPr>
                <w:sz w:val="24"/>
                <w:szCs w:val="24"/>
              </w:rPr>
            </w:pPr>
          </w:p>
          <w:p w:rsidR="007E1D17" w:rsidRPr="007E1D17" w:rsidRDefault="007E1D17" w:rsidP="007E1D17">
            <w:pPr>
              <w:jc w:val="center"/>
              <w:rPr>
                <w:b/>
                <w:sz w:val="24"/>
                <w:szCs w:val="24"/>
              </w:rPr>
            </w:pPr>
            <w:r w:rsidRPr="007E1D17">
              <w:rPr>
                <w:b/>
                <w:sz w:val="24"/>
                <w:szCs w:val="24"/>
              </w:rPr>
              <w:t>NOME</w:t>
            </w:r>
          </w:p>
        </w:tc>
        <w:tc>
          <w:tcPr>
            <w:tcW w:w="9360" w:type="dxa"/>
            <w:gridSpan w:val="6"/>
          </w:tcPr>
          <w:p w:rsidR="007E1D17" w:rsidRPr="007E1D17" w:rsidRDefault="007E1D17" w:rsidP="007E1D17">
            <w:pPr>
              <w:jc w:val="center"/>
              <w:rPr>
                <w:b/>
                <w:sz w:val="24"/>
                <w:szCs w:val="24"/>
              </w:rPr>
            </w:pPr>
            <w:r w:rsidRPr="007E1D17">
              <w:rPr>
                <w:b/>
                <w:sz w:val="24"/>
                <w:szCs w:val="24"/>
              </w:rPr>
              <w:t>TÍTULOS</w:t>
            </w:r>
          </w:p>
        </w:tc>
      </w:tr>
      <w:tr w:rsidR="007E1D17" w:rsidRPr="007E1D17" w:rsidTr="00935968">
        <w:tc>
          <w:tcPr>
            <w:tcW w:w="5400" w:type="dxa"/>
            <w:vMerge/>
          </w:tcPr>
          <w:p w:rsidR="007E1D17" w:rsidRPr="007E1D17" w:rsidRDefault="007E1D17" w:rsidP="007E1D17">
            <w:pPr>
              <w:jc w:val="both"/>
              <w:rPr>
                <w:sz w:val="24"/>
                <w:szCs w:val="24"/>
              </w:rPr>
            </w:pPr>
          </w:p>
        </w:tc>
        <w:tc>
          <w:tcPr>
            <w:tcW w:w="1440" w:type="dxa"/>
          </w:tcPr>
          <w:p w:rsidR="007E1D17" w:rsidRPr="007E1D17" w:rsidRDefault="007E1D17" w:rsidP="007E1D17">
            <w:pPr>
              <w:jc w:val="center"/>
              <w:rPr>
                <w:b/>
                <w:sz w:val="24"/>
                <w:szCs w:val="24"/>
              </w:rPr>
            </w:pPr>
            <w:r w:rsidRPr="007E1D17">
              <w:rPr>
                <w:b/>
                <w:sz w:val="24"/>
                <w:szCs w:val="24"/>
              </w:rPr>
              <w:t>Doutorado</w:t>
            </w:r>
          </w:p>
        </w:tc>
        <w:tc>
          <w:tcPr>
            <w:tcW w:w="1440" w:type="dxa"/>
          </w:tcPr>
          <w:p w:rsidR="007E1D17" w:rsidRPr="007E1D17" w:rsidRDefault="007E1D17" w:rsidP="007E1D17">
            <w:pPr>
              <w:jc w:val="center"/>
              <w:rPr>
                <w:b/>
                <w:sz w:val="24"/>
                <w:szCs w:val="24"/>
              </w:rPr>
            </w:pPr>
            <w:r w:rsidRPr="007E1D17">
              <w:rPr>
                <w:b/>
                <w:sz w:val="24"/>
                <w:szCs w:val="24"/>
              </w:rPr>
              <w:t>Mestrado</w:t>
            </w:r>
          </w:p>
        </w:tc>
        <w:tc>
          <w:tcPr>
            <w:tcW w:w="1578" w:type="dxa"/>
          </w:tcPr>
          <w:p w:rsidR="007E1D17" w:rsidRPr="007E1D17" w:rsidRDefault="007E1D17" w:rsidP="007E1D17">
            <w:pPr>
              <w:jc w:val="center"/>
              <w:rPr>
                <w:b/>
                <w:sz w:val="24"/>
                <w:szCs w:val="24"/>
              </w:rPr>
            </w:pPr>
            <w:r w:rsidRPr="007E1D17">
              <w:rPr>
                <w:b/>
                <w:sz w:val="24"/>
                <w:szCs w:val="24"/>
              </w:rPr>
              <w:t>Atividades Atualização</w:t>
            </w:r>
          </w:p>
        </w:tc>
        <w:tc>
          <w:tcPr>
            <w:tcW w:w="1842" w:type="dxa"/>
          </w:tcPr>
          <w:p w:rsidR="007E1D17" w:rsidRPr="007E1D17" w:rsidRDefault="007E1D17" w:rsidP="007E1D17">
            <w:pPr>
              <w:jc w:val="center"/>
              <w:rPr>
                <w:b/>
                <w:sz w:val="24"/>
                <w:szCs w:val="24"/>
              </w:rPr>
            </w:pPr>
            <w:r w:rsidRPr="007E1D17">
              <w:rPr>
                <w:b/>
                <w:sz w:val="24"/>
                <w:szCs w:val="24"/>
              </w:rPr>
              <w:t>Especialização</w:t>
            </w:r>
          </w:p>
        </w:tc>
        <w:tc>
          <w:tcPr>
            <w:tcW w:w="1620" w:type="dxa"/>
          </w:tcPr>
          <w:p w:rsidR="007E1D17" w:rsidRPr="007E1D17" w:rsidRDefault="007E1D17" w:rsidP="007E1D17">
            <w:pPr>
              <w:jc w:val="center"/>
              <w:rPr>
                <w:b/>
                <w:sz w:val="24"/>
                <w:szCs w:val="24"/>
              </w:rPr>
            </w:pPr>
            <w:r w:rsidRPr="007E1D17">
              <w:rPr>
                <w:b/>
                <w:sz w:val="24"/>
                <w:szCs w:val="24"/>
              </w:rPr>
              <w:t>Experiência</w:t>
            </w:r>
          </w:p>
        </w:tc>
        <w:tc>
          <w:tcPr>
            <w:tcW w:w="1440" w:type="dxa"/>
          </w:tcPr>
          <w:p w:rsidR="007E1D17" w:rsidRPr="007E1D17" w:rsidRDefault="007E1D17" w:rsidP="007E1D17">
            <w:pPr>
              <w:jc w:val="center"/>
              <w:rPr>
                <w:b/>
                <w:sz w:val="24"/>
                <w:szCs w:val="24"/>
              </w:rPr>
            </w:pPr>
            <w:r w:rsidRPr="007E1D17">
              <w:rPr>
                <w:b/>
                <w:sz w:val="24"/>
                <w:szCs w:val="24"/>
              </w:rPr>
              <w:t>Total</w:t>
            </w:r>
          </w:p>
        </w:tc>
      </w:tr>
      <w:tr w:rsidR="007E1D17" w:rsidRPr="007E1D17" w:rsidTr="00935968">
        <w:tc>
          <w:tcPr>
            <w:tcW w:w="5400" w:type="dxa"/>
          </w:tcPr>
          <w:p w:rsidR="007E1D17" w:rsidRPr="007E1D17" w:rsidRDefault="007E1D17" w:rsidP="007E1D17">
            <w:pPr>
              <w:jc w:val="both"/>
              <w:rPr>
                <w:sz w:val="24"/>
                <w:szCs w:val="24"/>
              </w:rPr>
            </w:pPr>
            <w:r w:rsidRPr="007E1D17">
              <w:rPr>
                <w:sz w:val="24"/>
                <w:szCs w:val="24"/>
              </w:rPr>
              <w:t xml:space="preserve">1 – </w:t>
            </w:r>
            <w:r>
              <w:rPr>
                <w:sz w:val="24"/>
                <w:szCs w:val="24"/>
              </w:rPr>
              <w:t>Aline Caixeta Ribeiro</w:t>
            </w:r>
          </w:p>
        </w:tc>
        <w:tc>
          <w:tcPr>
            <w:tcW w:w="1440" w:type="dxa"/>
          </w:tcPr>
          <w:p w:rsidR="007E1D17" w:rsidRPr="007E1D17" w:rsidRDefault="007E1D17" w:rsidP="007E1D17">
            <w:pPr>
              <w:jc w:val="center"/>
              <w:rPr>
                <w:sz w:val="24"/>
                <w:szCs w:val="24"/>
              </w:rPr>
            </w:pPr>
            <w:r w:rsidRPr="007E1D17">
              <w:rPr>
                <w:sz w:val="24"/>
                <w:szCs w:val="24"/>
              </w:rPr>
              <w:t>-</w:t>
            </w:r>
          </w:p>
        </w:tc>
        <w:tc>
          <w:tcPr>
            <w:tcW w:w="1440" w:type="dxa"/>
          </w:tcPr>
          <w:p w:rsidR="007E1D17" w:rsidRPr="007E1D17" w:rsidRDefault="007E1D17" w:rsidP="007E1D17">
            <w:pPr>
              <w:jc w:val="center"/>
              <w:rPr>
                <w:sz w:val="24"/>
                <w:szCs w:val="24"/>
              </w:rPr>
            </w:pPr>
            <w:r w:rsidRPr="007E1D17">
              <w:rPr>
                <w:sz w:val="24"/>
                <w:szCs w:val="24"/>
              </w:rPr>
              <w:t>-</w:t>
            </w:r>
          </w:p>
        </w:tc>
        <w:tc>
          <w:tcPr>
            <w:tcW w:w="1578" w:type="dxa"/>
          </w:tcPr>
          <w:p w:rsidR="007E1D17" w:rsidRPr="007E1D17" w:rsidRDefault="007E1D17" w:rsidP="007E1D17">
            <w:pPr>
              <w:jc w:val="center"/>
              <w:rPr>
                <w:sz w:val="24"/>
                <w:szCs w:val="24"/>
              </w:rPr>
            </w:pPr>
            <w:r>
              <w:rPr>
                <w:sz w:val="24"/>
                <w:szCs w:val="24"/>
              </w:rPr>
              <w:t>5,0</w:t>
            </w:r>
          </w:p>
        </w:tc>
        <w:tc>
          <w:tcPr>
            <w:tcW w:w="1842" w:type="dxa"/>
          </w:tcPr>
          <w:p w:rsidR="007E1D17" w:rsidRPr="007E1D17" w:rsidRDefault="007E1D17" w:rsidP="007E1D17">
            <w:pPr>
              <w:jc w:val="center"/>
              <w:rPr>
                <w:sz w:val="24"/>
                <w:szCs w:val="24"/>
              </w:rPr>
            </w:pPr>
            <w:r>
              <w:rPr>
                <w:sz w:val="24"/>
                <w:szCs w:val="24"/>
              </w:rPr>
              <w:t>2,0</w:t>
            </w:r>
          </w:p>
        </w:tc>
        <w:tc>
          <w:tcPr>
            <w:tcW w:w="1620" w:type="dxa"/>
          </w:tcPr>
          <w:p w:rsidR="007E1D17" w:rsidRPr="007E1D17" w:rsidRDefault="007E1D17" w:rsidP="007E1D17">
            <w:pPr>
              <w:jc w:val="center"/>
              <w:rPr>
                <w:sz w:val="24"/>
                <w:szCs w:val="24"/>
              </w:rPr>
            </w:pPr>
            <w:r>
              <w:rPr>
                <w:sz w:val="24"/>
                <w:szCs w:val="24"/>
              </w:rPr>
              <w:t>-</w:t>
            </w:r>
          </w:p>
        </w:tc>
        <w:tc>
          <w:tcPr>
            <w:tcW w:w="1440" w:type="dxa"/>
          </w:tcPr>
          <w:p w:rsidR="007E1D17" w:rsidRPr="007E1D17" w:rsidRDefault="007E1D17" w:rsidP="007E1D17">
            <w:pPr>
              <w:jc w:val="center"/>
              <w:rPr>
                <w:b/>
                <w:sz w:val="24"/>
                <w:szCs w:val="24"/>
              </w:rPr>
            </w:pPr>
            <w:r>
              <w:rPr>
                <w:b/>
                <w:sz w:val="24"/>
                <w:szCs w:val="24"/>
              </w:rPr>
              <w:t>7,0</w:t>
            </w:r>
          </w:p>
        </w:tc>
      </w:tr>
      <w:tr w:rsidR="007E1D17" w:rsidRPr="007E1D17" w:rsidTr="00935968">
        <w:tc>
          <w:tcPr>
            <w:tcW w:w="5400" w:type="dxa"/>
          </w:tcPr>
          <w:p w:rsidR="007E1D17" w:rsidRPr="007E1D17" w:rsidRDefault="007E1D17" w:rsidP="007E1D17">
            <w:pPr>
              <w:jc w:val="both"/>
              <w:rPr>
                <w:sz w:val="24"/>
                <w:szCs w:val="24"/>
              </w:rPr>
            </w:pPr>
            <w:proofErr w:type="gramStart"/>
            <w:r w:rsidRPr="007E1D17">
              <w:rPr>
                <w:sz w:val="24"/>
                <w:szCs w:val="24"/>
              </w:rPr>
              <w:t xml:space="preserve">2 – </w:t>
            </w:r>
            <w:r>
              <w:rPr>
                <w:sz w:val="24"/>
                <w:szCs w:val="24"/>
              </w:rPr>
              <w:t>Marcos Monteiro Pinto Moreira</w:t>
            </w:r>
            <w:proofErr w:type="gramEnd"/>
          </w:p>
        </w:tc>
        <w:tc>
          <w:tcPr>
            <w:tcW w:w="1440" w:type="dxa"/>
          </w:tcPr>
          <w:p w:rsidR="007E1D17" w:rsidRPr="007E1D17" w:rsidRDefault="007E1D17" w:rsidP="007E1D17">
            <w:pPr>
              <w:jc w:val="center"/>
              <w:rPr>
                <w:sz w:val="24"/>
                <w:szCs w:val="24"/>
              </w:rPr>
            </w:pPr>
            <w:r w:rsidRPr="007E1D17">
              <w:rPr>
                <w:sz w:val="24"/>
                <w:szCs w:val="24"/>
              </w:rPr>
              <w:t>-</w:t>
            </w:r>
          </w:p>
        </w:tc>
        <w:tc>
          <w:tcPr>
            <w:tcW w:w="1440" w:type="dxa"/>
          </w:tcPr>
          <w:p w:rsidR="007E1D17" w:rsidRPr="007E1D17" w:rsidRDefault="007E1D17" w:rsidP="007E1D17">
            <w:pPr>
              <w:jc w:val="center"/>
              <w:rPr>
                <w:sz w:val="24"/>
                <w:szCs w:val="24"/>
              </w:rPr>
            </w:pPr>
            <w:r w:rsidRPr="007E1D17">
              <w:rPr>
                <w:sz w:val="24"/>
                <w:szCs w:val="24"/>
              </w:rPr>
              <w:t>-</w:t>
            </w:r>
          </w:p>
        </w:tc>
        <w:tc>
          <w:tcPr>
            <w:tcW w:w="1578" w:type="dxa"/>
          </w:tcPr>
          <w:p w:rsidR="007E1D17" w:rsidRPr="007E1D17" w:rsidRDefault="007E1D17" w:rsidP="007E1D17">
            <w:pPr>
              <w:jc w:val="center"/>
              <w:rPr>
                <w:sz w:val="24"/>
                <w:szCs w:val="24"/>
              </w:rPr>
            </w:pPr>
            <w:r>
              <w:rPr>
                <w:sz w:val="24"/>
                <w:szCs w:val="24"/>
              </w:rPr>
              <w:t>-</w:t>
            </w:r>
          </w:p>
        </w:tc>
        <w:tc>
          <w:tcPr>
            <w:tcW w:w="1842" w:type="dxa"/>
          </w:tcPr>
          <w:p w:rsidR="007E1D17" w:rsidRPr="007E1D17" w:rsidRDefault="007E1D17" w:rsidP="007E1D17">
            <w:pPr>
              <w:jc w:val="center"/>
              <w:rPr>
                <w:sz w:val="24"/>
                <w:szCs w:val="24"/>
              </w:rPr>
            </w:pPr>
            <w:r>
              <w:rPr>
                <w:sz w:val="24"/>
                <w:szCs w:val="24"/>
              </w:rPr>
              <w:t>2,0</w:t>
            </w:r>
          </w:p>
        </w:tc>
        <w:tc>
          <w:tcPr>
            <w:tcW w:w="1620" w:type="dxa"/>
          </w:tcPr>
          <w:p w:rsidR="007E1D17" w:rsidRPr="007E1D17" w:rsidRDefault="007E1D17" w:rsidP="007E1D17">
            <w:pPr>
              <w:jc w:val="center"/>
              <w:rPr>
                <w:sz w:val="24"/>
                <w:szCs w:val="24"/>
              </w:rPr>
            </w:pPr>
            <w:r>
              <w:rPr>
                <w:sz w:val="24"/>
                <w:szCs w:val="24"/>
              </w:rPr>
              <w:t>-</w:t>
            </w:r>
          </w:p>
        </w:tc>
        <w:tc>
          <w:tcPr>
            <w:tcW w:w="1440" w:type="dxa"/>
          </w:tcPr>
          <w:p w:rsidR="007E1D17" w:rsidRPr="007E1D17" w:rsidRDefault="007E1D17" w:rsidP="007E1D17">
            <w:pPr>
              <w:jc w:val="center"/>
              <w:rPr>
                <w:b/>
                <w:sz w:val="24"/>
                <w:szCs w:val="24"/>
              </w:rPr>
            </w:pPr>
            <w:r>
              <w:rPr>
                <w:b/>
                <w:sz w:val="24"/>
                <w:szCs w:val="24"/>
              </w:rPr>
              <w:t>2,0</w:t>
            </w:r>
          </w:p>
        </w:tc>
      </w:tr>
      <w:tr w:rsidR="007E1D17" w:rsidRPr="007E1D17" w:rsidTr="00935968">
        <w:tc>
          <w:tcPr>
            <w:tcW w:w="5400" w:type="dxa"/>
          </w:tcPr>
          <w:p w:rsidR="007E1D17" w:rsidRPr="007E1D17" w:rsidRDefault="007E1D17" w:rsidP="007E1D17">
            <w:pPr>
              <w:jc w:val="both"/>
              <w:rPr>
                <w:sz w:val="24"/>
                <w:szCs w:val="24"/>
              </w:rPr>
            </w:pPr>
            <w:proofErr w:type="gramStart"/>
            <w:r w:rsidRPr="007E1D17">
              <w:rPr>
                <w:sz w:val="24"/>
                <w:szCs w:val="24"/>
              </w:rPr>
              <w:t xml:space="preserve">3 – </w:t>
            </w:r>
            <w:r>
              <w:rPr>
                <w:sz w:val="24"/>
                <w:szCs w:val="24"/>
              </w:rPr>
              <w:t>Thiago Adriano Silva Guimarães</w:t>
            </w:r>
            <w:proofErr w:type="gramEnd"/>
          </w:p>
        </w:tc>
        <w:tc>
          <w:tcPr>
            <w:tcW w:w="1440" w:type="dxa"/>
          </w:tcPr>
          <w:p w:rsidR="007E1D17" w:rsidRPr="007E1D17" w:rsidRDefault="007E1D17" w:rsidP="007E1D17">
            <w:pPr>
              <w:jc w:val="center"/>
              <w:rPr>
                <w:sz w:val="24"/>
                <w:szCs w:val="24"/>
              </w:rPr>
            </w:pPr>
            <w:r w:rsidRPr="007E1D17">
              <w:rPr>
                <w:sz w:val="24"/>
                <w:szCs w:val="24"/>
              </w:rPr>
              <w:t>-</w:t>
            </w:r>
          </w:p>
        </w:tc>
        <w:tc>
          <w:tcPr>
            <w:tcW w:w="1440" w:type="dxa"/>
          </w:tcPr>
          <w:p w:rsidR="007E1D17" w:rsidRPr="007E1D17" w:rsidRDefault="007E1D17" w:rsidP="007E1D17">
            <w:pPr>
              <w:jc w:val="center"/>
              <w:rPr>
                <w:sz w:val="24"/>
                <w:szCs w:val="24"/>
              </w:rPr>
            </w:pPr>
            <w:r w:rsidRPr="007E1D17">
              <w:rPr>
                <w:sz w:val="24"/>
                <w:szCs w:val="24"/>
              </w:rPr>
              <w:t>-</w:t>
            </w:r>
          </w:p>
        </w:tc>
        <w:tc>
          <w:tcPr>
            <w:tcW w:w="1578" w:type="dxa"/>
          </w:tcPr>
          <w:p w:rsidR="007E1D17" w:rsidRPr="007E1D17" w:rsidRDefault="007E1D17" w:rsidP="007E1D17">
            <w:pPr>
              <w:jc w:val="center"/>
              <w:rPr>
                <w:sz w:val="24"/>
                <w:szCs w:val="24"/>
              </w:rPr>
            </w:pPr>
            <w:r>
              <w:rPr>
                <w:sz w:val="24"/>
                <w:szCs w:val="24"/>
              </w:rPr>
              <w:t>-</w:t>
            </w:r>
          </w:p>
        </w:tc>
        <w:tc>
          <w:tcPr>
            <w:tcW w:w="1842" w:type="dxa"/>
          </w:tcPr>
          <w:p w:rsidR="007E1D17" w:rsidRPr="007E1D17" w:rsidRDefault="007E1D17" w:rsidP="007E1D17">
            <w:pPr>
              <w:jc w:val="center"/>
              <w:rPr>
                <w:sz w:val="24"/>
                <w:szCs w:val="24"/>
              </w:rPr>
            </w:pPr>
            <w:r>
              <w:rPr>
                <w:sz w:val="24"/>
                <w:szCs w:val="24"/>
              </w:rPr>
              <w:t>2,0</w:t>
            </w:r>
          </w:p>
        </w:tc>
        <w:tc>
          <w:tcPr>
            <w:tcW w:w="1620" w:type="dxa"/>
          </w:tcPr>
          <w:p w:rsidR="007E1D17" w:rsidRPr="007E1D17" w:rsidRDefault="007E1D17" w:rsidP="007E1D17">
            <w:pPr>
              <w:jc w:val="center"/>
              <w:rPr>
                <w:sz w:val="24"/>
                <w:szCs w:val="24"/>
              </w:rPr>
            </w:pPr>
            <w:r>
              <w:rPr>
                <w:sz w:val="24"/>
                <w:szCs w:val="24"/>
              </w:rPr>
              <w:t>-</w:t>
            </w:r>
          </w:p>
        </w:tc>
        <w:tc>
          <w:tcPr>
            <w:tcW w:w="1440" w:type="dxa"/>
          </w:tcPr>
          <w:p w:rsidR="007E1D17" w:rsidRPr="007E1D17" w:rsidRDefault="007E1D17" w:rsidP="007E1D17">
            <w:pPr>
              <w:jc w:val="center"/>
              <w:rPr>
                <w:b/>
                <w:sz w:val="24"/>
                <w:szCs w:val="24"/>
              </w:rPr>
            </w:pPr>
            <w:r>
              <w:rPr>
                <w:b/>
                <w:sz w:val="24"/>
                <w:szCs w:val="24"/>
              </w:rPr>
              <w:t>2,0</w:t>
            </w:r>
          </w:p>
        </w:tc>
      </w:tr>
      <w:tr w:rsidR="007E1D17" w:rsidRPr="007E1D17" w:rsidTr="00935968">
        <w:tc>
          <w:tcPr>
            <w:tcW w:w="5400" w:type="dxa"/>
          </w:tcPr>
          <w:p w:rsidR="007E1D17" w:rsidRPr="007E1D17" w:rsidRDefault="007E1D17" w:rsidP="007E1D17">
            <w:pPr>
              <w:jc w:val="both"/>
              <w:rPr>
                <w:sz w:val="24"/>
                <w:szCs w:val="24"/>
              </w:rPr>
            </w:pPr>
            <w:r>
              <w:rPr>
                <w:sz w:val="24"/>
                <w:szCs w:val="24"/>
              </w:rPr>
              <w:t>4- Dênia Rezende Ferreira</w:t>
            </w:r>
          </w:p>
        </w:tc>
        <w:tc>
          <w:tcPr>
            <w:tcW w:w="1440" w:type="dxa"/>
          </w:tcPr>
          <w:p w:rsidR="007E1D17" w:rsidRPr="007E1D17" w:rsidRDefault="007E1D17" w:rsidP="007E1D17">
            <w:pPr>
              <w:jc w:val="center"/>
              <w:rPr>
                <w:sz w:val="24"/>
                <w:szCs w:val="24"/>
              </w:rPr>
            </w:pPr>
            <w:r>
              <w:rPr>
                <w:sz w:val="24"/>
                <w:szCs w:val="24"/>
              </w:rPr>
              <w:t>-</w:t>
            </w:r>
          </w:p>
        </w:tc>
        <w:tc>
          <w:tcPr>
            <w:tcW w:w="1440" w:type="dxa"/>
          </w:tcPr>
          <w:p w:rsidR="007E1D17" w:rsidRPr="007E1D17" w:rsidRDefault="007E1D17" w:rsidP="007E1D17">
            <w:pPr>
              <w:jc w:val="center"/>
              <w:rPr>
                <w:sz w:val="24"/>
                <w:szCs w:val="24"/>
              </w:rPr>
            </w:pPr>
            <w:r>
              <w:rPr>
                <w:sz w:val="24"/>
                <w:szCs w:val="24"/>
              </w:rPr>
              <w:t>-</w:t>
            </w:r>
          </w:p>
        </w:tc>
        <w:tc>
          <w:tcPr>
            <w:tcW w:w="1578" w:type="dxa"/>
          </w:tcPr>
          <w:p w:rsidR="007E1D17" w:rsidRPr="007E1D17" w:rsidRDefault="007E1D17" w:rsidP="007E1D17">
            <w:pPr>
              <w:jc w:val="center"/>
              <w:rPr>
                <w:sz w:val="24"/>
                <w:szCs w:val="24"/>
              </w:rPr>
            </w:pPr>
            <w:r>
              <w:rPr>
                <w:sz w:val="24"/>
                <w:szCs w:val="24"/>
              </w:rPr>
              <w:t>-</w:t>
            </w:r>
          </w:p>
        </w:tc>
        <w:tc>
          <w:tcPr>
            <w:tcW w:w="1842" w:type="dxa"/>
          </w:tcPr>
          <w:p w:rsidR="007E1D17" w:rsidRPr="007E1D17" w:rsidRDefault="007E1D17" w:rsidP="007E1D17">
            <w:pPr>
              <w:jc w:val="center"/>
              <w:rPr>
                <w:sz w:val="24"/>
                <w:szCs w:val="24"/>
              </w:rPr>
            </w:pPr>
            <w:r>
              <w:rPr>
                <w:sz w:val="24"/>
                <w:szCs w:val="24"/>
              </w:rPr>
              <w:t>-</w:t>
            </w:r>
          </w:p>
        </w:tc>
        <w:tc>
          <w:tcPr>
            <w:tcW w:w="1620" w:type="dxa"/>
          </w:tcPr>
          <w:p w:rsidR="007E1D17" w:rsidRPr="007E1D17" w:rsidRDefault="007E1D17" w:rsidP="007E1D17">
            <w:pPr>
              <w:jc w:val="center"/>
              <w:rPr>
                <w:sz w:val="24"/>
                <w:szCs w:val="24"/>
              </w:rPr>
            </w:pPr>
            <w:r>
              <w:rPr>
                <w:sz w:val="24"/>
                <w:szCs w:val="24"/>
              </w:rPr>
              <w:t>-</w:t>
            </w:r>
          </w:p>
        </w:tc>
        <w:tc>
          <w:tcPr>
            <w:tcW w:w="1440" w:type="dxa"/>
          </w:tcPr>
          <w:p w:rsidR="007E1D17" w:rsidRPr="007E1D17" w:rsidRDefault="007E1D17" w:rsidP="007E1D17">
            <w:pPr>
              <w:jc w:val="center"/>
              <w:rPr>
                <w:b/>
                <w:sz w:val="24"/>
                <w:szCs w:val="24"/>
              </w:rPr>
            </w:pPr>
            <w:r>
              <w:rPr>
                <w:b/>
                <w:sz w:val="24"/>
                <w:szCs w:val="24"/>
              </w:rPr>
              <w:t>-</w:t>
            </w:r>
          </w:p>
        </w:tc>
      </w:tr>
    </w:tbl>
    <w:p w:rsidR="007E1D17" w:rsidRPr="007E1D17" w:rsidRDefault="007E1D17" w:rsidP="007E1D17">
      <w:pPr>
        <w:rPr>
          <w:rFonts w:ascii="Times New Roman" w:eastAsia="Times New Roman" w:hAnsi="Times New Roman" w:cs="Times New Roman"/>
        </w:rPr>
      </w:pPr>
    </w:p>
    <w:p w:rsidR="007E1D17" w:rsidRPr="007E1D17" w:rsidRDefault="007E1D17" w:rsidP="007E1D17">
      <w:pPr>
        <w:rPr>
          <w:rFonts w:ascii="Times New Roman" w:eastAsia="Times New Roman" w:hAnsi="Times New Roman" w:cs="Times New Roman"/>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spacing w:after="0" w:line="240" w:lineRule="auto"/>
        <w:jc w:val="center"/>
        <w:rPr>
          <w:rFonts w:ascii="Times New Roman" w:eastAsia="Times New Roman" w:hAnsi="Times New Roman" w:cs="Times New Roman"/>
          <w:b/>
          <w:lang w:eastAsia="pt-BR"/>
        </w:rPr>
      </w:pPr>
    </w:p>
    <w:p w:rsidR="007E1D17" w:rsidRPr="007E1D17" w:rsidRDefault="007E1D17" w:rsidP="007E1D17">
      <w:pPr>
        <w:spacing w:after="0" w:line="240" w:lineRule="auto"/>
        <w:jc w:val="center"/>
        <w:rPr>
          <w:rFonts w:ascii="Times New Roman" w:eastAsia="Times New Roman" w:hAnsi="Times New Roman" w:cs="Times New Roman"/>
          <w:b/>
          <w:lang w:eastAsia="pt-BR"/>
        </w:rPr>
      </w:pPr>
    </w:p>
    <w:p w:rsidR="007E1D17" w:rsidRPr="007E1D17" w:rsidRDefault="007E1D17" w:rsidP="007E1D17">
      <w:pPr>
        <w:spacing w:after="0" w:line="240" w:lineRule="auto"/>
        <w:jc w:val="center"/>
        <w:rPr>
          <w:rFonts w:ascii="Times New Roman" w:eastAsia="Times New Roman" w:hAnsi="Times New Roman" w:cs="Times New Roman"/>
          <w:b/>
          <w:lang w:eastAsia="pt-BR"/>
        </w:rPr>
      </w:pPr>
    </w:p>
    <w:p w:rsidR="007E1D17" w:rsidRDefault="007E1D17" w:rsidP="007E1D17">
      <w:pPr>
        <w:spacing w:after="0" w:line="240" w:lineRule="auto"/>
        <w:jc w:val="center"/>
        <w:rPr>
          <w:rFonts w:ascii="Times New Roman" w:eastAsia="Times New Roman" w:hAnsi="Times New Roman" w:cs="Times New Roman"/>
          <w:b/>
          <w:lang w:eastAsia="pt-BR"/>
        </w:rPr>
      </w:pPr>
    </w:p>
    <w:p w:rsidR="007E1D17" w:rsidRDefault="007E1D17" w:rsidP="007E1D17">
      <w:pPr>
        <w:spacing w:after="0" w:line="240" w:lineRule="auto"/>
        <w:jc w:val="center"/>
        <w:rPr>
          <w:rFonts w:ascii="Times New Roman" w:eastAsia="Times New Roman" w:hAnsi="Times New Roman" w:cs="Times New Roman"/>
          <w:b/>
          <w:lang w:eastAsia="pt-BR"/>
        </w:rPr>
      </w:pPr>
    </w:p>
    <w:p w:rsidR="007E1D17" w:rsidRDefault="007E1D17" w:rsidP="007E1D17">
      <w:pPr>
        <w:spacing w:after="0" w:line="240" w:lineRule="auto"/>
        <w:jc w:val="center"/>
        <w:rPr>
          <w:rFonts w:ascii="Times New Roman" w:eastAsia="Times New Roman" w:hAnsi="Times New Roman" w:cs="Times New Roman"/>
          <w:b/>
          <w:lang w:eastAsia="pt-BR"/>
        </w:rPr>
      </w:pPr>
    </w:p>
    <w:p w:rsidR="007E1D17" w:rsidRDefault="007E1D17" w:rsidP="007E1D17">
      <w:pPr>
        <w:spacing w:after="0" w:line="240" w:lineRule="auto"/>
        <w:jc w:val="center"/>
        <w:rPr>
          <w:rFonts w:ascii="Times New Roman" w:eastAsia="Times New Roman" w:hAnsi="Times New Roman" w:cs="Times New Roman"/>
          <w:b/>
          <w:lang w:eastAsia="pt-BR"/>
        </w:rPr>
      </w:pPr>
    </w:p>
    <w:p w:rsidR="007E1D17" w:rsidRDefault="007E1D17" w:rsidP="007E1D17">
      <w:pPr>
        <w:spacing w:after="0" w:line="240" w:lineRule="auto"/>
        <w:jc w:val="center"/>
        <w:rPr>
          <w:rFonts w:ascii="Times New Roman" w:eastAsia="Times New Roman" w:hAnsi="Times New Roman" w:cs="Times New Roman"/>
          <w:b/>
          <w:lang w:eastAsia="pt-BR"/>
        </w:rPr>
      </w:pPr>
    </w:p>
    <w:p w:rsidR="007E1D17" w:rsidRDefault="007E1D17" w:rsidP="007E1D17">
      <w:pPr>
        <w:spacing w:after="0" w:line="240" w:lineRule="auto"/>
        <w:jc w:val="center"/>
        <w:rPr>
          <w:rFonts w:ascii="Times New Roman" w:eastAsia="Times New Roman" w:hAnsi="Times New Roman" w:cs="Times New Roman"/>
          <w:b/>
          <w:lang w:eastAsia="pt-BR"/>
        </w:rPr>
      </w:pPr>
    </w:p>
    <w:p w:rsidR="007E1D17" w:rsidRDefault="007E1D17" w:rsidP="007E1D17">
      <w:pPr>
        <w:spacing w:after="0" w:line="240" w:lineRule="auto"/>
        <w:jc w:val="center"/>
        <w:rPr>
          <w:rFonts w:ascii="Times New Roman" w:eastAsia="Times New Roman" w:hAnsi="Times New Roman" w:cs="Times New Roman"/>
          <w:b/>
          <w:lang w:eastAsia="pt-BR"/>
        </w:rPr>
      </w:pPr>
    </w:p>
    <w:p w:rsidR="007E1D17" w:rsidRDefault="007E1D17" w:rsidP="007E1D17">
      <w:pPr>
        <w:spacing w:after="0" w:line="240" w:lineRule="auto"/>
        <w:rPr>
          <w:rFonts w:ascii="Times New Roman" w:eastAsia="Times New Roman" w:hAnsi="Times New Roman" w:cs="Times New Roman"/>
          <w:b/>
          <w:lang w:eastAsia="pt-BR"/>
        </w:rPr>
      </w:pPr>
    </w:p>
    <w:p w:rsidR="007E1D17" w:rsidRPr="007E1D17" w:rsidRDefault="007E1D17" w:rsidP="007E1D17">
      <w:pPr>
        <w:spacing w:after="0" w:line="240" w:lineRule="auto"/>
        <w:jc w:val="center"/>
        <w:rPr>
          <w:rFonts w:ascii="Times New Roman" w:eastAsia="Times New Roman" w:hAnsi="Times New Roman" w:cs="Times New Roman"/>
          <w:b/>
          <w:lang w:eastAsia="pt-BR"/>
        </w:rPr>
      </w:pPr>
      <w:r w:rsidRPr="007E1D17">
        <w:rPr>
          <w:rFonts w:ascii="Times New Roman" w:eastAsia="Times New Roman" w:hAnsi="Times New Roman" w:cs="Times New Roman"/>
          <w:b/>
          <w:lang w:eastAsia="pt-BR"/>
        </w:rPr>
        <w:t>ANEXO II</w:t>
      </w:r>
    </w:p>
    <w:p w:rsidR="007E1D17" w:rsidRDefault="007E1D17" w:rsidP="007E1D1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E1D17" w:rsidRDefault="007E1D17" w:rsidP="007E1D1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E1D17">
        <w:rPr>
          <w:rFonts w:ascii="Times New Roman" w:eastAsia="Times New Roman" w:hAnsi="Times New Roman" w:cs="Times New Roman"/>
          <w:b/>
          <w:lang w:eastAsia="pt-BR"/>
        </w:rPr>
        <w:t>3. DA ANÁLISE DE CURRÍCULO</w:t>
      </w: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3. 1.</w:t>
      </w:r>
      <w:r w:rsidRPr="007E1D17">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3. 2.</w:t>
      </w:r>
      <w:r w:rsidRPr="007E1D17">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3. 3.</w:t>
      </w:r>
      <w:r w:rsidRPr="007E1D17">
        <w:rPr>
          <w:rFonts w:ascii="Times New Roman" w:eastAsia="Times New Roman" w:hAnsi="Times New Roman" w:cs="Times New Roman"/>
          <w:lang w:eastAsia="pt-BR"/>
        </w:rPr>
        <w:t xml:space="preserve"> </w:t>
      </w:r>
      <w:r w:rsidRPr="007E1D17">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7E1D17">
        <w:rPr>
          <w:rFonts w:ascii="Times New Roman" w:eastAsia="Times New Roman" w:hAnsi="Times New Roman" w:cs="Times New Roman"/>
          <w:lang w:eastAsia="pt-BR"/>
        </w:rPr>
        <w:t xml:space="preserve">. </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3. 4.</w:t>
      </w:r>
      <w:r w:rsidRPr="007E1D17">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3. 5.</w:t>
      </w:r>
      <w:r w:rsidRPr="007E1D17">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3. 6.</w:t>
      </w:r>
      <w:r w:rsidRPr="007E1D17">
        <w:rPr>
          <w:rFonts w:ascii="Times New Roman" w:eastAsia="Times New Roman" w:hAnsi="Times New Roman" w:cs="Times New Roman"/>
          <w:lang w:eastAsia="pt-BR"/>
        </w:rPr>
        <w:t xml:space="preserve"> O título referente </w:t>
      </w:r>
      <w:proofErr w:type="gramStart"/>
      <w:r w:rsidRPr="007E1D17">
        <w:rPr>
          <w:rFonts w:ascii="Times New Roman" w:eastAsia="Times New Roman" w:hAnsi="Times New Roman" w:cs="Times New Roman"/>
          <w:lang w:eastAsia="pt-BR"/>
        </w:rPr>
        <w:t>a</w:t>
      </w:r>
      <w:proofErr w:type="gramEnd"/>
      <w:r w:rsidRPr="007E1D17">
        <w:rPr>
          <w:rFonts w:ascii="Times New Roman" w:eastAsia="Times New Roman" w:hAnsi="Times New Roman" w:cs="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3. 7.</w:t>
      </w:r>
      <w:r w:rsidRPr="007E1D17">
        <w:rPr>
          <w:rFonts w:ascii="Times New Roman" w:eastAsia="Times New Roman" w:hAnsi="Times New Roman" w:cs="Times New Roman"/>
          <w:lang w:eastAsia="pt-BR"/>
        </w:rPr>
        <w:t xml:space="preserve"> O</w:t>
      </w:r>
      <w:r w:rsidRPr="007E1D17">
        <w:rPr>
          <w:rFonts w:ascii="Times New Roman" w:eastAsia="Times New Roman" w:hAnsi="Times New Roman" w:cs="Times New Roman"/>
          <w:color w:val="FF0000"/>
          <w:lang w:eastAsia="pt-BR"/>
        </w:rPr>
        <w:t xml:space="preserve"> </w:t>
      </w:r>
      <w:r w:rsidRPr="007E1D17">
        <w:rPr>
          <w:rFonts w:ascii="Times New Roman" w:eastAsia="Times New Roman" w:hAnsi="Times New Roman" w:cs="Times New Roman"/>
          <w:lang w:eastAsia="pt-BR"/>
        </w:rPr>
        <w:t>mesmo certificado de Especialização não poderá ser utilizado em mais de uma modalidade nos critérios de pontuação.</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E1D17">
        <w:rPr>
          <w:rFonts w:ascii="Times New Roman" w:eastAsia="Times New Roman" w:hAnsi="Times New Roman" w:cs="Times New Roman"/>
          <w:b/>
          <w:lang w:eastAsia="pt-BR"/>
        </w:rPr>
        <w:t>3. 8. Serão recusados os Títulos que não atenderem às exigências deste.</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3. 9.</w:t>
      </w:r>
      <w:r w:rsidRPr="007E1D17">
        <w:rPr>
          <w:rFonts w:ascii="Times New Roman" w:eastAsia="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lang w:eastAsia="pt-BR"/>
        </w:rPr>
        <w:t xml:space="preserve">a) </w:t>
      </w:r>
      <w:r w:rsidRPr="007E1D17">
        <w:rPr>
          <w:rFonts w:ascii="Times New Roman" w:eastAsia="Times New Roman" w:hAnsi="Times New Roman" w:cs="Times New Roman"/>
          <w:b/>
          <w:lang w:eastAsia="pt-BR"/>
        </w:rPr>
        <w:t>A experiência profissional prestada na iniciativa privada</w:t>
      </w:r>
      <w:r w:rsidRPr="007E1D17">
        <w:rPr>
          <w:rFonts w:ascii="Times New Roman" w:eastAsia="Times New Roman" w:hAnsi="Times New Roman" w:cs="Times New Roman"/>
          <w:lang w:eastAsia="pt-BR"/>
        </w:rPr>
        <w:t xml:space="preserve"> deverá ser comprovada mediante apresentação de original e cópia do registro em Carteira de Trabalho e Previdência Social – CTPS- </w:t>
      </w:r>
      <w:r w:rsidRPr="007E1D17">
        <w:rPr>
          <w:rFonts w:ascii="Times New Roman" w:eastAsia="Times New Roman" w:hAnsi="Times New Roman" w:cs="Times New Roman"/>
          <w:b/>
          <w:lang w:eastAsia="pt-BR"/>
        </w:rPr>
        <w:t>acompanhada</w:t>
      </w:r>
      <w:r w:rsidRPr="007E1D17">
        <w:rPr>
          <w:rFonts w:ascii="Times New Roman" w:eastAsia="Times New Roman" w:hAnsi="Times New Roman" w:cs="Times New Roman"/>
          <w:lang w:eastAsia="pt-BR"/>
        </w:rPr>
        <w:t xml:space="preserve"> </w:t>
      </w:r>
      <w:r w:rsidRPr="007E1D17">
        <w:rPr>
          <w:rFonts w:ascii="Times New Roman" w:eastAsia="Times New Roman" w:hAnsi="Times New Roman" w:cs="Times New Roman"/>
          <w:b/>
          <w:lang w:eastAsia="pt-BR"/>
        </w:rPr>
        <w:t>de declaração do empregador, com registro do período de início e término do trabalho realizado, quando for o caso, e a espécie do serviço realizado.</w:t>
      </w:r>
      <w:r w:rsidRPr="007E1D17">
        <w:rPr>
          <w:rFonts w:ascii="Times New Roman" w:eastAsia="Times New Roman" w:hAnsi="Times New Roman" w:cs="Times New Roman"/>
          <w:lang w:eastAsia="pt-BR"/>
        </w:rPr>
        <w:t xml:space="preserve"> A declaração deverá ser emitida em papel timbrado, com identificação e assinatura legível da autoridade emissora do documento ou cópia devidamente autenticada em cartório. </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E1D17">
        <w:rPr>
          <w:rFonts w:ascii="Times New Roman" w:eastAsia="Times New Roman" w:hAnsi="Times New Roman" w:cs="Times New Roman"/>
          <w:lang w:eastAsia="pt-BR"/>
        </w:rPr>
        <w:t xml:space="preserve">b) </w:t>
      </w:r>
      <w:r w:rsidRPr="007E1D17">
        <w:rPr>
          <w:rFonts w:ascii="Times New Roman" w:eastAsia="Times New Roman" w:hAnsi="Times New Roman" w:cs="Times New Roman"/>
          <w:b/>
          <w:lang w:eastAsia="pt-BR"/>
        </w:rPr>
        <w:t>A experiência profissional realizada como autônomo</w:t>
      </w:r>
      <w:r w:rsidRPr="007E1D17">
        <w:rPr>
          <w:rFonts w:ascii="Times New Roman" w:eastAsia="Times New Roman" w:hAnsi="Times New Roman" w:cs="Times New Roman"/>
          <w:lang w:eastAsia="pt-BR"/>
        </w:rPr>
        <w:t xml:space="preserve"> deverá ser comprovada mediante apresentação de original e cópia do contrato de prestação de serviços ou de recibo de pagamento de autônomo - RPA, em qualquer caso, </w:t>
      </w:r>
      <w:r w:rsidRPr="007E1D17">
        <w:rPr>
          <w:rFonts w:ascii="Times New Roman" w:eastAsia="Times New Roman" w:hAnsi="Times New Roman" w:cs="Times New Roman"/>
          <w:b/>
          <w:lang w:eastAsia="pt-BR"/>
        </w:rPr>
        <w:t>acrescida</w:t>
      </w:r>
      <w:r w:rsidRPr="007E1D17">
        <w:rPr>
          <w:rFonts w:ascii="Times New Roman" w:eastAsia="Times New Roman" w:hAnsi="Times New Roman" w:cs="Times New Roman"/>
          <w:lang w:eastAsia="pt-BR"/>
        </w:rPr>
        <w:t xml:space="preserve"> </w:t>
      </w:r>
      <w:r w:rsidRPr="007E1D17">
        <w:rPr>
          <w:rFonts w:ascii="Times New Roman" w:eastAsia="Times New Roman" w:hAnsi="Times New Roman" w:cs="Times New Roman"/>
          <w:b/>
          <w:lang w:eastAsia="pt-BR"/>
        </w:rPr>
        <w:t xml:space="preserve">de declaração do contratante, com registro do período de início </w:t>
      </w:r>
      <w:proofErr w:type="gramStart"/>
      <w:r w:rsidRPr="007E1D17">
        <w:rPr>
          <w:rFonts w:ascii="Times New Roman" w:eastAsia="Times New Roman" w:hAnsi="Times New Roman" w:cs="Times New Roman"/>
          <w:b/>
          <w:lang w:eastAsia="pt-BR"/>
        </w:rPr>
        <w:t>e</w:t>
      </w:r>
      <w:proofErr w:type="gramEnd"/>
      <w:r w:rsidRPr="007E1D17">
        <w:rPr>
          <w:rFonts w:ascii="Times New Roman" w:eastAsia="Times New Roman" w:hAnsi="Times New Roman" w:cs="Times New Roman"/>
          <w:b/>
          <w:lang w:eastAsia="pt-BR"/>
        </w:rPr>
        <w:t xml:space="preserve"> </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E1D17">
        <w:rPr>
          <w:rFonts w:ascii="Times New Roman" w:eastAsia="Times New Roman" w:hAnsi="Times New Roman" w:cs="Times New Roman"/>
          <w:b/>
          <w:lang w:eastAsia="pt-BR"/>
        </w:rPr>
        <w:t>término</w:t>
      </w:r>
      <w:proofErr w:type="gramEnd"/>
      <w:r w:rsidRPr="007E1D17">
        <w:rPr>
          <w:rFonts w:ascii="Times New Roman" w:eastAsia="Times New Roman" w:hAnsi="Times New Roman" w:cs="Times New Roman"/>
          <w:b/>
          <w:lang w:eastAsia="pt-BR"/>
        </w:rPr>
        <w:t xml:space="preserve"> de trabalho realizado, quando for o caso, e a espécie do serviço realizado. </w:t>
      </w:r>
      <w:r w:rsidRPr="007E1D17">
        <w:rPr>
          <w:rFonts w:ascii="Times New Roman" w:eastAsia="Times New Roman" w:hAnsi="Times New Roman" w:cs="Times New Roman"/>
          <w:lang w:eastAsia="pt-BR"/>
        </w:rPr>
        <w:t>A declaração do contratante deverá ser emitida com identificação e assinatura legível.</w:t>
      </w:r>
    </w:p>
    <w:p w:rsidR="007E1D17" w:rsidRPr="007E1D17" w:rsidRDefault="007E1D17" w:rsidP="007E1D1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3. 10.</w:t>
      </w:r>
      <w:r w:rsidRPr="007E1D17">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3. 11.</w:t>
      </w:r>
      <w:r w:rsidRPr="007E1D17">
        <w:rPr>
          <w:rFonts w:ascii="Times New Roman" w:eastAsia="Times New Roman" w:hAnsi="Times New Roman" w:cs="Times New Roman"/>
          <w:lang w:eastAsia="pt-BR"/>
        </w:rPr>
        <w:t xml:space="preserve"> </w:t>
      </w:r>
      <w:r w:rsidRPr="007E1D17">
        <w:rPr>
          <w:rFonts w:ascii="Times New Roman" w:eastAsia="Times New Roman" w:hAnsi="Times New Roman" w:cs="Times New Roman"/>
          <w:b/>
          <w:lang w:eastAsia="pt-BR"/>
        </w:rPr>
        <w:t xml:space="preserve">NÃO </w:t>
      </w:r>
      <w:proofErr w:type="gramStart"/>
      <w:r w:rsidRPr="007E1D17">
        <w:rPr>
          <w:rFonts w:ascii="Times New Roman" w:eastAsia="Times New Roman" w:hAnsi="Times New Roman" w:cs="Times New Roman"/>
          <w:b/>
          <w:lang w:eastAsia="pt-BR"/>
        </w:rPr>
        <w:t>SERÁ</w:t>
      </w:r>
      <w:proofErr w:type="gramEnd"/>
      <w:r w:rsidRPr="007E1D17">
        <w:rPr>
          <w:rFonts w:ascii="Times New Roman" w:eastAsia="Times New Roman" w:hAnsi="Times New Roman" w:cs="Times New Roman"/>
          <w:b/>
          <w:lang w:eastAsia="pt-BR"/>
        </w:rPr>
        <w:t xml:space="preserve"> PONTUADA EXPERIÊNCIAS EM PERÍODOS CONCOMITANTES</w:t>
      </w:r>
      <w:r w:rsidRPr="007E1D17">
        <w:rPr>
          <w:rFonts w:ascii="Times New Roman" w:eastAsia="Times New Roman" w:hAnsi="Times New Roman" w:cs="Times New Roman"/>
          <w:b/>
          <w:u w:val="single"/>
          <w:lang w:eastAsia="pt-BR"/>
        </w:rPr>
        <w:t>.</w:t>
      </w:r>
    </w:p>
    <w:p w:rsidR="007E1D17" w:rsidRPr="007E1D17" w:rsidRDefault="007E1D17" w:rsidP="007E1D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b/>
          <w:lang w:eastAsia="pt-BR"/>
        </w:rPr>
        <w:t>3. 12.</w:t>
      </w:r>
      <w:r w:rsidRPr="007E1D17">
        <w:rPr>
          <w:rFonts w:ascii="Times New Roman" w:eastAsia="Times New Roman" w:hAnsi="Times New Roman" w:cs="Times New Roman"/>
          <w:lang w:eastAsia="pt-BR"/>
        </w:rPr>
        <w:t xml:space="preserve"> Na análise curricular serão atribuídos no máximo 69 </w:t>
      </w:r>
      <w:r w:rsidRPr="007E1D17">
        <w:rPr>
          <w:rFonts w:ascii="Times New Roman" w:eastAsia="Times New Roman" w:hAnsi="Times New Roman" w:cs="Times New Roman"/>
          <w:b/>
          <w:lang w:eastAsia="pt-BR"/>
        </w:rPr>
        <w:t>(sessenta e nove) pontos</w:t>
      </w:r>
      <w:r w:rsidRPr="007E1D17">
        <w:rPr>
          <w:rFonts w:ascii="Times New Roman" w:eastAsia="Times New Roman" w:hAnsi="Times New Roman" w:cs="Times New Roman"/>
          <w:lang w:eastAsia="pt-BR"/>
        </w:rPr>
        <w:t xml:space="preserve"> </w:t>
      </w:r>
      <w:r w:rsidRPr="007E1D17">
        <w:rPr>
          <w:rFonts w:ascii="Times New Roman" w:eastAsia="Times New Roman" w:hAnsi="Times New Roman" w:cs="Times New Roman"/>
          <w:b/>
          <w:lang w:eastAsia="pt-BR"/>
        </w:rPr>
        <w:t xml:space="preserve">ENFERMEIRO ASSISTENCIAL DO SAMU </w:t>
      </w:r>
      <w:r w:rsidRPr="007E1D17">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7E1D17" w:rsidRPr="007E1D17" w:rsidRDefault="007E1D17" w:rsidP="007E1D17">
      <w:pPr>
        <w:rPr>
          <w:rFonts w:ascii="Times New Roman" w:eastAsia="Times New Roman" w:hAnsi="Times New Roman" w:cs="Times New Roman"/>
        </w:rPr>
      </w:pPr>
    </w:p>
    <w:p w:rsidR="007E1D17" w:rsidRPr="007E1D17" w:rsidRDefault="007E1D17" w:rsidP="007E1D17">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7E1D17" w:rsidRPr="007E1D17" w:rsidRDefault="007E1D17" w:rsidP="007E1D17">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7E1D17" w:rsidRPr="007E1D17" w:rsidRDefault="007E1D17" w:rsidP="007E1D17">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7E1D17" w:rsidRPr="007E1D17" w:rsidRDefault="007E1D17" w:rsidP="007E1D17">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7E1D17" w:rsidRPr="007E1D17" w:rsidRDefault="007E1D17" w:rsidP="007E1D17">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7E1D17" w:rsidRPr="007E1D17" w:rsidRDefault="007E1D17" w:rsidP="007E1D1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E1D17">
        <w:rPr>
          <w:rFonts w:ascii="Times New Roman" w:eastAsia="Times New Roman" w:hAnsi="Times New Roman" w:cs="Times New Roman"/>
          <w:lang w:eastAsia="pt-BR"/>
        </w:rPr>
        <w:t>Dirceu Deocleciano Pacheco</w:t>
      </w:r>
    </w:p>
    <w:p w:rsidR="007E1D17" w:rsidRPr="007E1D17" w:rsidRDefault="007E1D17" w:rsidP="007E1D17">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7E1D17">
        <w:rPr>
          <w:rFonts w:ascii="Times New Roman" w:eastAsia="Times New Roman" w:hAnsi="Times New Roman" w:cs="Times New Roman"/>
          <w:bCs/>
          <w:lang w:eastAsia="pt-BR"/>
        </w:rPr>
        <w:t>Secretário Municipal de Saúde</w:t>
      </w:r>
    </w:p>
    <w:p w:rsidR="007E1D17" w:rsidRPr="007E1D17" w:rsidRDefault="007E1D17" w:rsidP="007E1D17">
      <w:pPr>
        <w:shd w:val="clear" w:color="auto" w:fill="FFFFFF"/>
        <w:spacing w:after="0" w:line="240" w:lineRule="auto"/>
        <w:jc w:val="center"/>
        <w:rPr>
          <w:rFonts w:ascii="Times New Roman" w:eastAsia="Times New Roman" w:hAnsi="Times New Roman" w:cs="Times New Roman"/>
          <w:lang w:eastAsia="pt-BR"/>
        </w:rPr>
      </w:pPr>
    </w:p>
    <w:p w:rsidR="007E1D17" w:rsidRPr="007E1D17" w:rsidRDefault="007E1D17" w:rsidP="007E1D17">
      <w:pPr>
        <w:jc w:val="center"/>
        <w:rPr>
          <w:rFonts w:ascii="Times New Roman" w:eastAsia="Times New Roman" w:hAnsi="Times New Roman" w:cs="Times New Roman"/>
        </w:rPr>
      </w:pPr>
    </w:p>
    <w:p w:rsidR="00F275E7" w:rsidRDefault="00F275E7"/>
    <w:sectPr w:rsidR="00F275E7" w:rsidSect="00C574DD">
      <w:headerReference w:type="default" r:id="rId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DD" w:rsidRDefault="007E1D17">
    <w:pPr>
      <w:pStyle w:val="Cabealho"/>
    </w:pPr>
    <w:r>
      <w:rPr>
        <w:noProof/>
        <w:lang w:eastAsia="pt-BR"/>
      </w:rPr>
      <w:drawing>
        <wp:anchor distT="0" distB="0" distL="114300" distR="114300" simplePos="0" relativeHeight="251659264" behindDoc="1" locked="0" layoutInCell="1" allowOverlap="1" wp14:anchorId="6DC3360A" wp14:editId="74FD1511">
          <wp:simplePos x="0" y="0"/>
          <wp:positionH relativeFrom="column">
            <wp:posOffset>396875</wp:posOffset>
          </wp:positionH>
          <wp:positionV relativeFrom="paragraph">
            <wp:posOffset>-87630</wp:posOffset>
          </wp:positionV>
          <wp:extent cx="2951480" cy="952500"/>
          <wp:effectExtent l="0" t="0" r="1270" b="0"/>
          <wp:wrapTight wrapText="bothSides">
            <wp:wrapPolygon edited="0">
              <wp:start x="0" y="0"/>
              <wp:lineTo x="0" y="21168"/>
              <wp:lineTo x="21470" y="21168"/>
              <wp:lineTo x="21470"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19"/>
    <w:rsid w:val="001D1A19"/>
    <w:rsid w:val="007E1D17"/>
    <w:rsid w:val="00F275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E1D17"/>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7E1D17"/>
    <w:rPr>
      <w:rFonts w:ascii="Calibri" w:eastAsia="Times New Roman" w:hAnsi="Calibri" w:cs="Times New Roman"/>
    </w:rPr>
  </w:style>
  <w:style w:type="table" w:customStyle="1" w:styleId="Tabelacomgrade1">
    <w:name w:val="Tabela com grade1"/>
    <w:basedOn w:val="Tabelanormal"/>
    <w:next w:val="Tabelacomgrade"/>
    <w:rsid w:val="007E1D1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7E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E1D17"/>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7E1D17"/>
    <w:rPr>
      <w:rFonts w:ascii="Calibri" w:eastAsia="Times New Roman" w:hAnsi="Calibri" w:cs="Times New Roman"/>
    </w:rPr>
  </w:style>
  <w:style w:type="table" w:customStyle="1" w:styleId="Tabelacomgrade1">
    <w:name w:val="Tabela com grade1"/>
    <w:basedOn w:val="Tabelanormal"/>
    <w:next w:val="Tabelacomgrade"/>
    <w:rsid w:val="007E1D1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7E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2014-10-24T11:24:00Z</dcterms:created>
  <dcterms:modified xsi:type="dcterms:W3CDTF">2014-10-24T11:24:00Z</dcterms:modified>
</cp:coreProperties>
</file>